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792739121"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Pr="00CE1DA5">
        <w:rPr>
          <w:lang w:val="sr-Cyrl-RS"/>
        </w:rPr>
        <w:t>О</w:t>
      </w:r>
      <w:r w:rsidR="00A76250" w:rsidRPr="00CE1DA5">
        <w:rPr>
          <w:lang w:val="sr-Cyrl-RS"/>
        </w:rPr>
        <w:t>дсек</w:t>
      </w:r>
      <w:r w:rsidRPr="00CE1DA5">
        <w:rPr>
          <w:lang w:val="sr-Cyrl-RS"/>
        </w:rPr>
        <w:t xml:space="preserve"> за</w:t>
      </w:r>
      <w:r w:rsidR="00837AD9">
        <w:rPr>
          <w:lang w:val="sr-Cyrl-RS"/>
        </w:rPr>
        <w:t xml:space="preserve"> </w:t>
      </w:r>
      <w:r w:rsidR="003F6D5F">
        <w:rPr>
          <w:lang w:val="sr-Cyrl-RS"/>
        </w:rPr>
        <w:t>финасије и буџет</w:t>
      </w:r>
      <w:r w:rsidR="00A76250" w:rsidRPr="00CE1DA5">
        <w:rPr>
          <w:lang w:val="sr-Cyrl-RS"/>
        </w:rPr>
        <w:t>:</w:t>
      </w:r>
    </w:p>
    <w:p w:rsidR="00A76250" w:rsidRPr="00CE1DA5" w:rsidRDefault="00A76250" w:rsidP="00D75171">
      <w:pPr>
        <w:ind w:firstLine="720"/>
        <w:jc w:val="both"/>
        <w:rPr>
          <w:lang w:val="sr-Cyrl-RS"/>
        </w:rPr>
      </w:pPr>
    </w:p>
    <w:p w:rsidR="00D75171" w:rsidRDefault="008A3A29" w:rsidP="00D75171">
      <w:pPr>
        <w:ind w:firstLine="720"/>
        <w:jc w:val="both"/>
        <w:rPr>
          <w:lang w:val="sr-Latn-RS"/>
        </w:rPr>
      </w:pPr>
      <w:r w:rsidRPr="00F438DC">
        <w:rPr>
          <w:b/>
          <w:lang w:val="sr-Cyrl-RS"/>
        </w:rPr>
        <w:t>„</w:t>
      </w:r>
      <w:r w:rsidR="003F6D5F">
        <w:rPr>
          <w:b/>
          <w:lang w:val="sr-Cyrl-RS"/>
        </w:rPr>
        <w:t>РАЧУНОВОЂА И ФИНАНСИЈСКИ ПОСЛОВИ</w:t>
      </w:r>
      <w:r w:rsidRPr="00F438DC">
        <w:rPr>
          <w:b/>
          <w:lang w:val="sr-Cyrl-RS"/>
        </w:rPr>
        <w:t xml:space="preserve">“, </w:t>
      </w:r>
      <w:r w:rsidRPr="00F438DC">
        <w:rPr>
          <w:lang w:val="sr-Cyrl-RS" w:eastAsia="sr-Latn-CS"/>
        </w:rPr>
        <w:t xml:space="preserve">у звању саветник, под редним бројем </w:t>
      </w:r>
      <w:r w:rsidR="003F6D5F">
        <w:rPr>
          <w:lang w:val="sr-Cyrl-RS" w:eastAsia="sr-Latn-CS"/>
        </w:rPr>
        <w:t>1</w:t>
      </w:r>
      <w:r w:rsidR="002F5A32">
        <w:rPr>
          <w:lang w:val="sr-Cyrl-RS" w:eastAsia="sr-Latn-CS"/>
        </w:rPr>
        <w:t>2</w:t>
      </w:r>
      <w:r w:rsidRPr="00F438DC">
        <w:rPr>
          <w:lang w:eastAsia="sr-Latn-CS"/>
        </w:rPr>
        <w:t>,</w:t>
      </w:r>
      <w:r w:rsidRPr="00F438DC">
        <w:rPr>
          <w:b/>
          <w:lang w:val="sr-Cyrl-RS"/>
        </w:rPr>
        <w:t xml:space="preserve"> </w:t>
      </w:r>
      <w:r w:rsidRPr="00F438DC">
        <w:rPr>
          <w:rStyle w:val="apple-converted-space"/>
          <w:color w:val="000000"/>
          <w:lang w:val="sr-Cyrl-RS"/>
        </w:rPr>
        <w:t xml:space="preserve">у </w:t>
      </w:r>
      <w:r w:rsidRPr="00F438DC">
        <w:t>Управи Градске општине Црвени Крст</w:t>
      </w:r>
      <w:r w:rsidRPr="00F438DC">
        <w:rPr>
          <w:lang w:val="sr-Cyrl-RS"/>
        </w:rPr>
        <w:t xml:space="preserve">, у </w:t>
      </w:r>
      <w:r w:rsidRPr="00F438DC">
        <w:t>Одсеку за</w:t>
      </w:r>
      <w:r w:rsidRPr="00F438DC">
        <w:rPr>
          <w:lang w:val="sr-Cyrl-RS"/>
        </w:rPr>
        <w:t xml:space="preserve"> </w:t>
      </w:r>
      <w:r w:rsidR="003F6D5F">
        <w:rPr>
          <w:lang w:val="sr-Cyrl-RS"/>
        </w:rPr>
        <w:t>финансије и буџет</w:t>
      </w:r>
      <w:r w:rsidRPr="00F438DC">
        <w:rPr>
          <w:lang w:val="sr-Cyrl-RS"/>
        </w:rPr>
        <w:t xml:space="preserve"> </w:t>
      </w:r>
      <w:r w:rsidRPr="00F438DC">
        <w:t>– 1 извршилац</w:t>
      </w:r>
    </w:p>
    <w:p w:rsidR="008A3A29" w:rsidRPr="008A3A29" w:rsidRDefault="008A3A29" w:rsidP="00D75171">
      <w:pPr>
        <w:ind w:firstLine="720"/>
        <w:jc w:val="both"/>
        <w:rPr>
          <w:lang w:val="sr-Latn-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w:t>
      </w:r>
      <w:r w:rsidR="002F5A32">
        <w:rPr>
          <w:lang w:val="sr-Cyrl-RS"/>
        </w:rPr>
        <w:t>06</w:t>
      </w:r>
      <w:r w:rsidR="00B87B95">
        <w:t>.</w:t>
      </w:r>
      <w:r w:rsidRPr="00CE1DA5">
        <w:rPr>
          <w:lang w:val="sr-Cyrl-RS"/>
        </w:rPr>
        <w:t xml:space="preserve"> </w:t>
      </w:r>
      <w:r w:rsidR="002F5A32">
        <w:rPr>
          <w:lang w:val="sr-Cyrl-RS"/>
        </w:rPr>
        <w:t>мај.</w:t>
      </w:r>
      <w:r w:rsidRPr="00CE1DA5">
        <w:t xml:space="preserve"> 202</w:t>
      </w:r>
      <w:r w:rsidR="002F5A32">
        <w:rPr>
          <w:lang w:val="sr-Cyrl-RS"/>
        </w:rPr>
        <w:t>6</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2F5A32">
        <w:rPr>
          <w:lang w:val="sr-Cyrl-RS"/>
        </w:rPr>
        <w:t>20</w:t>
      </w:r>
      <w:r w:rsidR="008A3A29">
        <w:rPr>
          <w:lang w:val="sr-Cyrl-RS"/>
        </w:rPr>
        <w:t xml:space="preserve">. </w:t>
      </w:r>
      <w:r w:rsidR="002F5A32">
        <w:rPr>
          <w:lang w:val="sr-Cyrl-RS"/>
        </w:rPr>
        <w:t>мај</w:t>
      </w:r>
      <w:r w:rsidRPr="00CE1DA5">
        <w:t xml:space="preserve"> 202</w:t>
      </w:r>
      <w:r w:rsidR="002F5A32">
        <w:rPr>
          <w:lang w:val="sr-Cyrl-RS"/>
        </w:rPr>
        <w:t>6</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w:t>
      </w:r>
      <w:r w:rsidR="002F5A32">
        <w:rPr>
          <w:lang w:val="sr-Cyrl-RS"/>
        </w:rPr>
        <w:t>25</w:t>
      </w:r>
      <w:r w:rsidR="00F7308C" w:rsidRPr="00CE1DA5">
        <w:t>.0</w:t>
      </w:r>
      <w:r w:rsidR="002F5A32">
        <w:rPr>
          <w:lang w:val="sr-Cyrl-RS"/>
        </w:rPr>
        <w:t>5</w:t>
      </w:r>
      <w:r w:rsidR="00F7308C" w:rsidRPr="00CE1DA5">
        <w:t>.</w:t>
      </w:r>
      <w:r w:rsidRPr="00CE1DA5">
        <w:t>202</w:t>
      </w:r>
      <w:r w:rsidR="002F5A32">
        <w:rPr>
          <w:lang w:val="sr-Cyrl-RS"/>
        </w:rPr>
        <w:t>6</w:t>
      </w:r>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F7308C" w:rsidRPr="00CE1DA5" w:rsidRDefault="00D75171" w:rsidP="00F7308C">
      <w:pPr>
        <w:contextualSpacing/>
        <w:jc w:val="both"/>
      </w:pPr>
      <w:r w:rsidRPr="00CE1DA5">
        <w:rPr>
          <w:b/>
        </w:rPr>
        <w:t>Шта је провера општих функционалних компетенција (ОФК):</w:t>
      </w:r>
      <w:r w:rsidRPr="00CE1DA5">
        <w:t xml:space="preserve"> </w:t>
      </w:r>
    </w:p>
    <w:p w:rsidR="00F7308C" w:rsidRPr="00CE1DA5" w:rsidRDefault="00D75171" w:rsidP="00F7308C">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F7308C" w:rsidRPr="00CE1DA5" w:rsidRDefault="00D75171" w:rsidP="00F7308C">
      <w:pPr>
        <w:contextualSpacing/>
        <w:jc w:val="both"/>
      </w:pPr>
      <w:r w:rsidRPr="00CE1DA5">
        <w:t xml:space="preserve">Све ове тестове ћете радити на рачунару. </w:t>
      </w:r>
    </w:p>
    <w:p w:rsidR="00F7308C" w:rsidRPr="00CE1DA5" w:rsidRDefault="00D75171" w:rsidP="00F7308C">
      <w:pPr>
        <w:contextualSpacing/>
        <w:jc w:val="both"/>
      </w:pPr>
      <w:r w:rsidRPr="00CE1DA5">
        <w:t xml:space="preserve">Ови тестови ће показати ниво Ваших општих функционалних компетенција.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Како да се припремите за проверу ОФК: </w:t>
      </w:r>
    </w:p>
    <w:p w:rsidR="00F7308C" w:rsidRPr="00CE1DA5" w:rsidRDefault="00D75171" w:rsidP="00F7308C">
      <w:pPr>
        <w:contextualSpacing/>
        <w:jc w:val="both"/>
        <w:rPr>
          <w:lang w:val="sr-Cyrl-RS"/>
        </w:rPr>
      </w:pPr>
      <w:r w:rsidRPr="00CE1DA5">
        <w:t xml:space="preserve">На линку </w:t>
      </w:r>
      <w:hyperlink r:id="rId9" w:history="1">
        <w:r w:rsidR="00A05F2B" w:rsidRPr="00E8020F">
          <w:rPr>
            <w:rStyle w:val="Hyperlink"/>
          </w:rPr>
          <w:t>https://kutak.suk.gov.rs/kutak-znanja/materijali-za-pripremu-ofk-jls/baza-pitanja-i-odogovora-iz-organizacije-i-rada-organa-ap-i-jls</w:t>
        </w:r>
        <w:r w:rsidR="00AF3550" w:rsidRPr="00E8020F">
          <w:rPr>
            <w:rStyle w:val="Hyperlink"/>
            <w:lang w:val="en-US"/>
          </w:rPr>
          <w:t xml:space="preserve"> </w:t>
        </w:r>
      </w:hyperlink>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F7308C" w:rsidRPr="00CE1DA5" w:rsidRDefault="00D75171" w:rsidP="00F7308C">
      <w:pPr>
        <w:contextualSpacing/>
        <w:jc w:val="both"/>
      </w:pPr>
      <w:r w:rsidRPr="00CE1DA5">
        <w:t>Из те базе ћете добити 20 питања на које треба да одговорите.</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0" w:history="1">
        <w:r w:rsidR="00B22BF2" w:rsidRPr="00CE1DA5">
          <w:rPr>
            <w:rStyle w:val="Hyperlink"/>
          </w:rPr>
          <w:t>https://kutak.suk.gov.rs/kutak-znanja/rad-i-organizacija-drzavnih-organa-u-ap-i-jls</w:t>
        </w:r>
      </w:hyperlink>
      <w:r w:rsidR="00B22BF2" w:rsidRPr="00CE1DA5">
        <w:rPr>
          <w:rStyle w:val="Hyperlink"/>
          <w:lang w:val="sr-Cyrl-RS"/>
        </w:rPr>
        <w:t xml:space="preserve"> </w:t>
      </w:r>
      <w:r w:rsidRPr="00CE1DA5">
        <w:t xml:space="preserve"> можете вежбати и проверити своје знање из ове области.</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1" w:history="1">
        <w:r w:rsidR="00623C0B" w:rsidRPr="00CE1DA5">
          <w:rPr>
            <w:rStyle w:val="Hyperlink"/>
          </w:rPr>
          <w:t>https://kutak.suk.gov.rs/kutak-znanja/poslovna-komunikacija-za-ap-i-jls</w:t>
        </w:r>
      </w:hyperlink>
      <w:r w:rsidR="00623C0B"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F7308C" w:rsidRPr="00CE1DA5" w:rsidRDefault="00F7308C" w:rsidP="00F7308C">
      <w:pPr>
        <w:contextualSpacing/>
        <w:jc w:val="both"/>
      </w:pPr>
    </w:p>
    <w:p w:rsidR="00F7308C" w:rsidRPr="00CE1DA5" w:rsidRDefault="00D75171" w:rsidP="00F7308C">
      <w:pPr>
        <w:contextualSpacing/>
        <w:jc w:val="both"/>
      </w:pPr>
      <w:r w:rsidRPr="00CE1DA5">
        <w:t>Ово су само примери и нису идентични као они који ће бити дати на тестирању.</w:t>
      </w:r>
    </w:p>
    <w:p w:rsidR="00F7308C" w:rsidRPr="00CE1DA5" w:rsidRDefault="00F7308C" w:rsidP="00F7308C">
      <w:pPr>
        <w:contextualSpacing/>
        <w:jc w:val="both"/>
      </w:pPr>
    </w:p>
    <w:p w:rsidR="00A71114" w:rsidRPr="00CE1DA5" w:rsidRDefault="00A71114" w:rsidP="00F7308C">
      <w:pPr>
        <w:contextualSpacing/>
        <w:jc w:val="both"/>
      </w:pPr>
      <w:r w:rsidRPr="00CE1DA5">
        <w:t xml:space="preserve">На линковима: </w:t>
      </w:r>
    </w:p>
    <w:p w:rsidR="00A71114" w:rsidRPr="00CE1DA5" w:rsidRDefault="003A6080" w:rsidP="00F7308C">
      <w:pPr>
        <w:contextualSpacing/>
        <w:jc w:val="both"/>
      </w:pPr>
      <w:hyperlink r:id="rId12" w:history="1">
        <w:r w:rsidR="00A71114" w:rsidRPr="00CE1DA5">
          <w:rPr>
            <w:rStyle w:val="Hyperlink"/>
          </w:rPr>
          <w:t>https://kutak.suk.gov.rs/kutak-znanja/materijali-za-pripremu-ofk/digitalna-pismenost-excel</w:t>
        </w:r>
      </w:hyperlink>
    </w:p>
    <w:p w:rsidR="00A71114" w:rsidRPr="00CE1DA5" w:rsidRDefault="003A6080" w:rsidP="00F7308C">
      <w:pPr>
        <w:contextualSpacing/>
        <w:jc w:val="both"/>
      </w:pPr>
      <w:hyperlink r:id="rId13" w:history="1">
        <w:r w:rsidR="00A71114" w:rsidRPr="00CE1DA5">
          <w:rPr>
            <w:rStyle w:val="Hyperlink"/>
          </w:rPr>
          <w:t>https://kutak.suk.gov.rs/kutak-znanja/digitalna-pismenost</w:t>
        </w:r>
      </w:hyperlink>
    </w:p>
    <w:p w:rsidR="00F7308C" w:rsidRPr="00CE1DA5" w:rsidRDefault="00D75171" w:rsidP="00F7308C">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Колики је максимум бодова који можете остварити на провери ОФК:</w:t>
      </w:r>
    </w:p>
    <w:p w:rsidR="00F7308C" w:rsidRPr="00CE1DA5" w:rsidRDefault="00D75171" w:rsidP="00F7308C">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 xml:space="preserve">На овом конкурсу ће се проверавати да ли имате конкретна знања и вештине за рад на месту за које конкуришете. То су посебне функционалне компетенције.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Провера ће се вршити Вашим излагањем/одговарањем на постављени задатак Комисије (усмена провера).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Које компетенције ће бити провераване наведено је у тексту огласа. </w:t>
      </w:r>
    </w:p>
    <w:p w:rsidR="00AF67F6" w:rsidRPr="00CE1DA5" w:rsidRDefault="00AF67F6" w:rsidP="00F7308C">
      <w:pPr>
        <w:contextualSpacing/>
        <w:jc w:val="both"/>
      </w:pPr>
    </w:p>
    <w:p w:rsidR="00AF67F6" w:rsidRPr="00CE1DA5" w:rsidRDefault="00D75171" w:rsidP="00F7308C">
      <w:pPr>
        <w:contextualSpacing/>
        <w:jc w:val="both"/>
        <w:rPr>
          <w:b/>
        </w:rPr>
      </w:pPr>
      <w:r w:rsidRPr="00CE1DA5">
        <w:rPr>
          <w:b/>
        </w:rPr>
        <w:t xml:space="preserve">ПФК које ће се проверавати: </w:t>
      </w:r>
    </w:p>
    <w:p w:rsidR="00837AD9" w:rsidRPr="00874CDF" w:rsidRDefault="00837AD9" w:rsidP="00837AD9">
      <w:pPr>
        <w:jc w:val="both"/>
        <w:rPr>
          <w:lang w:val="sr-Cyrl-RS"/>
        </w:rPr>
      </w:pPr>
      <w:r w:rsidRPr="00874CDF">
        <w:t xml:space="preserve">Посебна функционална компетенција за одређену област рада </w:t>
      </w:r>
    </w:p>
    <w:p w:rsidR="00837AD9" w:rsidRPr="00ED7911" w:rsidRDefault="00837AD9" w:rsidP="00837AD9">
      <w:pPr>
        <w:jc w:val="both"/>
        <w:rPr>
          <w:b/>
          <w:lang w:val="sr-Cyrl-RS"/>
        </w:rPr>
      </w:pPr>
      <w:r w:rsidRPr="00F853F5">
        <w:sym w:font="Symbol" w:char="F0B7"/>
      </w:r>
      <w:r>
        <w:t xml:space="preserve"> </w:t>
      </w:r>
      <w:r w:rsidRPr="00ED7911">
        <w:rPr>
          <w:b/>
          <w:lang w:val="sr-Cyrl-RS"/>
        </w:rPr>
        <w:t>Послови управљања програмима и пројектима</w:t>
      </w:r>
    </w:p>
    <w:p w:rsidR="00837AD9" w:rsidRPr="00837AD9" w:rsidRDefault="00837AD9" w:rsidP="00837AD9">
      <w:pPr>
        <w:jc w:val="both"/>
        <w:rPr>
          <w:lang w:val="sr-Cyrl-RS"/>
        </w:rPr>
      </w:pPr>
      <w:r w:rsidRPr="00837AD9">
        <w:rPr>
          <w:lang w:val="sr-Cyrl-RS"/>
        </w:rPr>
        <w:t>-Планирање, припрему пројектног предлога и изворе финансирања;</w:t>
      </w:r>
    </w:p>
    <w:p w:rsidR="00837AD9" w:rsidRPr="00837AD9" w:rsidRDefault="00837AD9" w:rsidP="00837AD9">
      <w:pPr>
        <w:jc w:val="both"/>
        <w:rPr>
          <w:lang w:val="sr-Cyrl-RS"/>
        </w:rPr>
      </w:pPr>
      <w:r w:rsidRPr="00837AD9">
        <w:rPr>
          <w:lang w:val="sr-Cyrl-RS"/>
        </w:rPr>
        <w:t>-Реализација пројеката;</w:t>
      </w:r>
    </w:p>
    <w:p w:rsidR="00837AD9" w:rsidRPr="00837AD9" w:rsidRDefault="00837AD9" w:rsidP="00837AD9">
      <w:pPr>
        <w:jc w:val="both"/>
        <w:rPr>
          <w:lang w:val="sr-Cyrl-RS"/>
        </w:rPr>
      </w:pPr>
      <w:r w:rsidRPr="00837AD9">
        <w:rPr>
          <w:lang w:val="sr-Cyrl-RS"/>
        </w:rPr>
        <w:t>-Процес праћења спровођења пројеката на основу показатења учинака;</w:t>
      </w:r>
    </w:p>
    <w:p w:rsidR="00837AD9" w:rsidRPr="00837AD9" w:rsidRDefault="00837AD9" w:rsidP="00837AD9">
      <w:pPr>
        <w:jc w:val="both"/>
        <w:rPr>
          <w:lang w:val="sr-Cyrl-RS"/>
        </w:rPr>
      </w:pPr>
      <w:r w:rsidRPr="00837AD9">
        <w:rPr>
          <w:lang w:val="sr-Cyrl-RS"/>
        </w:rPr>
        <w:t>-Припрема извештаја  и еваулација пројеката</w:t>
      </w:r>
    </w:p>
    <w:p w:rsidR="00837AD9" w:rsidRPr="00874CDF" w:rsidRDefault="00837AD9" w:rsidP="00837AD9">
      <w:pPr>
        <w:shd w:val="clear" w:color="auto" w:fill="FFFFFF"/>
        <w:rPr>
          <w:rFonts w:ascii="Arial" w:hAnsi="Arial" w:cs="Arial"/>
          <w:color w:val="333333"/>
          <w:sz w:val="23"/>
          <w:szCs w:val="23"/>
        </w:rPr>
      </w:pPr>
      <w:r w:rsidRPr="00874CDF">
        <w:rPr>
          <w:rFonts w:ascii="Arial" w:hAnsi="Arial" w:cs="Arial"/>
          <w:color w:val="333333"/>
          <w:sz w:val="23"/>
          <w:szCs w:val="23"/>
        </w:rPr>
        <w:t> </w:t>
      </w:r>
    </w:p>
    <w:p w:rsidR="00F7308C" w:rsidRPr="00CE1DA5" w:rsidRDefault="00F7308C" w:rsidP="00F7308C">
      <w:pPr>
        <w:contextualSpacing/>
        <w:jc w:val="both"/>
      </w:pPr>
    </w:p>
    <w:p w:rsidR="00837AD9" w:rsidRPr="00837AD9" w:rsidRDefault="00837AD9" w:rsidP="00837AD9">
      <w:pPr>
        <w:jc w:val="both"/>
        <w:rPr>
          <w:lang w:val="sr-Cyrl-RS"/>
        </w:rPr>
      </w:pPr>
      <w:r w:rsidRPr="00F853F5">
        <w:sym w:font="Symbol" w:char="F0B7"/>
      </w:r>
      <w:r>
        <w:t xml:space="preserve">  </w:t>
      </w:r>
      <w:r w:rsidRPr="00837AD9">
        <w:t>Посебна функционална компетенција за одређено радно место област рада</w:t>
      </w:r>
      <w:r w:rsidRPr="00837AD9">
        <w:rPr>
          <w:lang w:val="sr-Cyrl-RS"/>
        </w:rPr>
        <w:t>:</w:t>
      </w:r>
    </w:p>
    <w:p w:rsidR="00837AD9" w:rsidRPr="00837AD9" w:rsidRDefault="00837AD9" w:rsidP="00837AD9">
      <w:pPr>
        <w:jc w:val="both"/>
        <w:rPr>
          <w:rFonts w:ascii="Calibri" w:hAnsi="Calibri"/>
          <w:sz w:val="22"/>
          <w:szCs w:val="22"/>
        </w:rPr>
      </w:pPr>
      <w:r w:rsidRPr="00837AD9">
        <w:rPr>
          <w:lang w:val="sr-Cyrl-RS"/>
        </w:rPr>
        <w:t xml:space="preserve">Закон о запосленима у аутономним покрајинама и јединицама локалне самоуправе </w:t>
      </w:r>
      <w:r w:rsidRPr="00837AD9">
        <w:t>(„Службени гласник РС“бр. 21/2016, 113/2017, 113/2017</w:t>
      </w:r>
      <w:r w:rsidRPr="00837AD9">
        <w:rPr>
          <w:lang w:val="sr-Cyrl-RS"/>
        </w:rPr>
        <w:t xml:space="preserve"> </w:t>
      </w:r>
      <w:r w:rsidRPr="00837AD9">
        <w:t>др.закон</w:t>
      </w:r>
      <w:r w:rsidRPr="00837AD9">
        <w:rPr>
          <w:lang w:val="sr-Cyrl-RS"/>
        </w:rPr>
        <w:t xml:space="preserve">, </w:t>
      </w:r>
      <w:r w:rsidRPr="00837AD9">
        <w:t>95/2018</w:t>
      </w:r>
      <w:r w:rsidRPr="00837AD9">
        <w:rPr>
          <w:lang w:val="sr-Cyrl-RS"/>
        </w:rPr>
        <w:t>, 95/2018 - др.закон, 86/2019 - др.закон, 157/2020 – др.закон, 114/21, 123/2021 – др.закон и 92/2023</w:t>
      </w:r>
      <w:r w:rsidRPr="00837AD9">
        <w:t xml:space="preserve"> )</w:t>
      </w:r>
      <w:r w:rsidRPr="00837AD9">
        <w:rPr>
          <w:lang w:val="sr-Cyrl-RS"/>
        </w:rPr>
        <w:t>; Закон о локалној самоуправи (</w:t>
      </w:r>
      <w:r w:rsidRPr="00837AD9">
        <w:t>„Службени гласник РС“бр.</w:t>
      </w:r>
      <w:r w:rsidRPr="00837AD9">
        <w:rPr>
          <w:lang w:val="sr-Cyrl-RS"/>
        </w:rPr>
        <w:t xml:space="preserve"> 129/2007, 83/2014- др.закон, 101/2016 – </w:t>
      </w:r>
      <w:r w:rsidRPr="003F6D5F">
        <w:rPr>
          <w:lang w:val="sr-Cyrl-RS"/>
        </w:rPr>
        <w:t>др.закон, 47/2</w:t>
      </w:r>
      <w:r w:rsidR="003F6D5F" w:rsidRPr="003F6D5F">
        <w:rPr>
          <w:lang w:val="sr-Cyrl-RS"/>
        </w:rPr>
        <w:t xml:space="preserve">018 и 111/2021-др.закон), </w:t>
      </w:r>
      <w:r w:rsidR="003F6D5F" w:rsidRPr="003F6D5F">
        <w:rPr>
          <w:lang w:val="sr-Cyrl-RS"/>
        </w:rPr>
        <w:t>Закон о буџетском систему, Закон о финансирању локалне самоуправе, Закон о буџету</w:t>
      </w:r>
      <w:r w:rsidRPr="003F6D5F">
        <w:rPr>
          <w:lang w:val="sr-Cyrl-RS"/>
        </w:rPr>
        <w:t>, Статут Градске општине Црвени</w:t>
      </w:r>
      <w:r w:rsidRPr="00837AD9">
        <w:rPr>
          <w:lang w:val="sr-Cyrl-RS"/>
        </w:rPr>
        <w:t xml:space="preserve"> Крст</w:t>
      </w:r>
      <w:r w:rsidRPr="00837AD9">
        <w:t>("Службени лист Града Ниша" бр. 88/</w:t>
      </w:r>
      <w:r w:rsidRPr="00837AD9">
        <w:rPr>
          <w:lang w:val="sr-Cyrl-RS"/>
        </w:rPr>
        <w:t>20</w:t>
      </w:r>
      <w:r w:rsidRPr="00837AD9">
        <w:t>17 - пречишћен текст, 64/</w:t>
      </w:r>
      <w:r w:rsidRPr="00837AD9">
        <w:rPr>
          <w:lang w:val="sr-Cyrl-RS"/>
        </w:rPr>
        <w:t>20</w:t>
      </w:r>
      <w:r w:rsidRPr="00837AD9">
        <w:t>19)</w:t>
      </w:r>
      <w:r w:rsidRPr="00837AD9">
        <w:rPr>
          <w:lang w:val="sr-Cyrl-RS"/>
        </w:rPr>
        <w:t xml:space="preserve">, Одлука о организацији Управе Градске општине Црвени Крст </w:t>
      </w:r>
      <w:r w:rsidRPr="00837AD9">
        <w:t xml:space="preserve">(„Сл. лист Града Ниша“ бр. 91/2018) </w:t>
      </w:r>
    </w:p>
    <w:p w:rsidR="00837AD9" w:rsidRPr="00837AD9" w:rsidRDefault="00837AD9" w:rsidP="00837AD9">
      <w:pPr>
        <w:ind w:left="720"/>
        <w:jc w:val="both"/>
      </w:pPr>
    </w:p>
    <w:p w:rsidR="00AF67F6" w:rsidRDefault="00D75171" w:rsidP="00837AD9">
      <w:pPr>
        <w:jc w:val="both"/>
      </w:pPr>
      <w:r w:rsidRPr="00CE1DA5">
        <w:t>На сајту Службе за управљање кадровима</w:t>
      </w:r>
      <w:bookmarkStart w:id="0" w:name="_GoBack"/>
      <w:bookmarkEnd w:id="0"/>
    </w:p>
    <w:p w:rsidR="00837AD9" w:rsidRPr="00CE1DA5" w:rsidRDefault="00837AD9" w:rsidP="00837AD9">
      <w:pPr>
        <w:jc w:val="both"/>
      </w:pPr>
    </w:p>
    <w:p w:rsidR="00AF67F6" w:rsidRPr="00CE1DA5" w:rsidRDefault="003A6080" w:rsidP="00F7308C">
      <w:pPr>
        <w:contextualSpacing/>
        <w:jc w:val="both"/>
      </w:pPr>
      <w:hyperlink r:id="rId14" w:history="1">
        <w:r w:rsidR="00AF67F6" w:rsidRPr="00CE1DA5">
          <w:rPr>
            <w:rStyle w:val="Hyperlink"/>
          </w:rPr>
          <w:t>https://www.suk.gov.rs/extfile/sr/1643/Provera%20pfk.pdf</w:t>
        </w:r>
      </w:hyperlink>
    </w:p>
    <w:p w:rsidR="00951EC4" w:rsidRPr="00CE1DA5" w:rsidRDefault="00D75171" w:rsidP="00F7308C">
      <w:pPr>
        <w:contextualSpacing/>
        <w:jc w:val="both"/>
      </w:pPr>
      <w:r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51EC4" w:rsidRPr="00CE1DA5" w:rsidRDefault="00951EC4" w:rsidP="00F7308C">
      <w:pPr>
        <w:contextualSpacing/>
        <w:jc w:val="both"/>
      </w:pPr>
    </w:p>
    <w:p w:rsidR="00951EC4" w:rsidRPr="00CE1DA5" w:rsidRDefault="00D75171" w:rsidP="00F7308C">
      <w:pPr>
        <w:contextualSpacing/>
        <w:jc w:val="both"/>
      </w:pPr>
      <w:r w:rsidRPr="00CE1DA5">
        <w:t xml:space="preserve">Колики је максимум бодова који можете остварити на провери ПФК. </w:t>
      </w:r>
    </w:p>
    <w:p w:rsidR="00951EC4" w:rsidRPr="00CE1DA5" w:rsidRDefault="00D75171" w:rsidP="00F7308C">
      <w:pPr>
        <w:contextualSpacing/>
        <w:jc w:val="both"/>
      </w:pPr>
      <w:r w:rsidRPr="00CE1DA5">
        <w:t>Максимални број бодова који можете остварити у овој фази изборног поступка износи 18.</w:t>
      </w:r>
    </w:p>
    <w:p w:rsidR="00951EC4" w:rsidRPr="00CE1DA5" w:rsidRDefault="00951EC4" w:rsidP="00F7308C">
      <w:pPr>
        <w:contextualSpacing/>
        <w:jc w:val="both"/>
      </w:pPr>
    </w:p>
    <w:p w:rsidR="00951EC4" w:rsidRPr="00CE1DA5" w:rsidRDefault="00D75171" w:rsidP="00F7308C">
      <w:pPr>
        <w:contextualSpacing/>
        <w:jc w:val="both"/>
        <w:rPr>
          <w:b/>
        </w:rPr>
      </w:pPr>
      <w:r w:rsidRPr="00CE1DA5">
        <w:rPr>
          <w:b/>
        </w:rPr>
        <w:t>Шта се проверава на завршном разговору:</w:t>
      </w:r>
    </w:p>
    <w:p w:rsidR="00951EC4" w:rsidRPr="00CE1DA5" w:rsidRDefault="00D75171" w:rsidP="00F7308C">
      <w:pPr>
        <w:contextualSpacing/>
        <w:jc w:val="both"/>
      </w:pPr>
      <w:r w:rsidRPr="00CE1DA5">
        <w:t xml:space="preserve">Када проверимо Ваше ПФК, позваћемо вас на завршни разговор са Комисијом. </w:t>
      </w:r>
    </w:p>
    <w:p w:rsidR="00951EC4" w:rsidRPr="00CE1DA5" w:rsidRDefault="00951EC4" w:rsidP="00F7308C">
      <w:pPr>
        <w:contextualSpacing/>
        <w:jc w:val="both"/>
      </w:pPr>
    </w:p>
    <w:p w:rsidR="00951EC4" w:rsidRDefault="00D75171" w:rsidP="00F7308C">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9F0B2E" w:rsidRPr="00CE1DA5" w:rsidRDefault="009F0B2E" w:rsidP="00F7308C">
      <w:pPr>
        <w:contextualSpacing/>
        <w:jc w:val="both"/>
      </w:pPr>
    </w:p>
    <w:p w:rsidR="00951EC4" w:rsidRPr="009F0B2E" w:rsidRDefault="00D75171" w:rsidP="00F7308C">
      <w:pPr>
        <w:contextualSpacing/>
        <w:jc w:val="both"/>
        <w:rPr>
          <w:b/>
        </w:rPr>
      </w:pPr>
      <w:r w:rsidRPr="009F0B2E">
        <w:rPr>
          <w:b/>
        </w:rPr>
        <w:t>Шта су понашајне компетенције:</w:t>
      </w:r>
    </w:p>
    <w:p w:rsidR="00951EC4" w:rsidRDefault="00D75171" w:rsidP="00F7308C">
      <w:pPr>
        <w:contextualSpacing/>
        <w:jc w:val="both"/>
      </w:pPr>
      <w:r w:rsidRPr="00CE1DA5">
        <w:t>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9F0B2E" w:rsidRPr="00CE1DA5" w:rsidRDefault="009F0B2E" w:rsidP="00F7308C">
      <w:pPr>
        <w:contextualSpacing/>
        <w:jc w:val="both"/>
      </w:pPr>
    </w:p>
    <w:p w:rsidR="00951EC4" w:rsidRPr="00CE1DA5" w:rsidRDefault="00D75171" w:rsidP="00F7308C">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w:t>
      </w:r>
      <w:r w:rsidRPr="00CE1DA5">
        <w:lastRenderedPageBreak/>
        <w:t xml:space="preserve">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951EC4" w:rsidRPr="00CE1DA5" w:rsidRDefault="00D75171" w:rsidP="00F7308C">
      <w:pPr>
        <w:contextualSpacing/>
        <w:jc w:val="both"/>
      </w:pPr>
      <w:r w:rsidRPr="00CE1DA5">
        <w:t xml:space="preserve">Све ово су понашајне компетенције. </w:t>
      </w:r>
    </w:p>
    <w:p w:rsidR="00BC0265" w:rsidRPr="00CE1DA5" w:rsidRDefault="00BC0265" w:rsidP="00F7308C">
      <w:pPr>
        <w:contextualSpacing/>
        <w:jc w:val="both"/>
      </w:pPr>
    </w:p>
    <w:p w:rsidR="00BC0265" w:rsidRPr="00CE1DA5" w:rsidRDefault="00BC0265" w:rsidP="00F7308C">
      <w:pPr>
        <w:contextualSpacing/>
        <w:jc w:val="both"/>
      </w:pPr>
    </w:p>
    <w:p w:rsidR="00951EC4" w:rsidRPr="00CE1DA5" w:rsidRDefault="00D75171" w:rsidP="00F7308C">
      <w:pPr>
        <w:contextualSpacing/>
        <w:jc w:val="both"/>
      </w:pPr>
      <w:r w:rsidRPr="00CE1DA5">
        <w:rPr>
          <w:b/>
        </w:rPr>
        <w:t>Како се проверавају понашајне компетенције:</w:t>
      </w:r>
      <w:r w:rsidRPr="00CE1DA5">
        <w:t xml:space="preserve"> </w:t>
      </w:r>
    </w:p>
    <w:p w:rsidR="00951EC4" w:rsidRPr="00CE1DA5" w:rsidRDefault="00D75171"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понашајних компетенција:</w:t>
      </w:r>
      <w:r w:rsidRPr="00CE1DA5">
        <w:t xml:space="preserve"> 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850479" w:rsidRPr="00CE1DA5" w:rsidRDefault="00D75171" w:rsidP="00F7308C">
      <w:pPr>
        <w:contextualSpacing/>
        <w:jc w:val="both"/>
      </w:pPr>
      <w:r w:rsidRPr="00CE1DA5">
        <w:t>Те вредности су: лојалност, професионалност, етичност и сл.</w:t>
      </w:r>
      <w:permEnd w:id="792739121"/>
    </w:p>
    <w:sectPr w:rsidR="00850479" w:rsidRPr="00CE1DA5" w:rsidSect="000E60EB">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80" w:rsidRDefault="003A6080" w:rsidP="009F030C">
      <w:r>
        <w:separator/>
      </w:r>
    </w:p>
  </w:endnote>
  <w:endnote w:type="continuationSeparator" w:id="0">
    <w:p w:rsidR="003A6080" w:rsidRDefault="003A6080"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3F6D5F">
          <w:rPr>
            <w:noProof/>
          </w:rPr>
          <w:t>4</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80" w:rsidRDefault="003A6080" w:rsidP="009F030C">
      <w:r>
        <w:separator/>
      </w:r>
    </w:p>
  </w:footnote>
  <w:footnote w:type="continuationSeparator" w:id="0">
    <w:p w:rsidR="003A6080" w:rsidRDefault="003A6080"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2F5A32"/>
    <w:rsid w:val="00314F3A"/>
    <w:rsid w:val="00372904"/>
    <w:rsid w:val="003A6080"/>
    <w:rsid w:val="003B4F90"/>
    <w:rsid w:val="003F2567"/>
    <w:rsid w:val="003F6D5F"/>
    <w:rsid w:val="00414D1B"/>
    <w:rsid w:val="00420DE7"/>
    <w:rsid w:val="00436B59"/>
    <w:rsid w:val="004949E1"/>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5140"/>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A2E7C"/>
    <w:rsid w:val="00DC2A5B"/>
    <w:rsid w:val="00DF26E0"/>
    <w:rsid w:val="00DF3AFA"/>
    <w:rsid w:val="00DF6B56"/>
    <w:rsid w:val="00E351F8"/>
    <w:rsid w:val="00E67530"/>
    <w:rsid w:val="00E8020F"/>
    <w:rsid w:val="00EB1C68"/>
    <w:rsid w:val="00EC3014"/>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tak.suk.gov.rs/kutak-znanja/digitalna-pismeno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tak.suk.gov.rs/kutak-znanja/materijali-za-pripremu-ofk/digitalna-pismenost-ex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tak.suk.gov.rs/kutak-znanja/poslovna-komunikacija-za-ap-i-j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utak.suk.gov.rs/kutak-znanja/rad-i-organizacija-drzavnih-organa-u-ap-i-jls" TargetMode="External"/><Relationship Id="rId4" Type="http://schemas.microsoft.com/office/2007/relationships/stylesWithEffects" Target="stylesWithEffects.xml"/><Relationship Id="rId9" Type="http://schemas.openxmlformats.org/officeDocument/2006/relationships/hyperlink" Target="https://kutak.suk.gov.rs/kutak-znanja/materijali-za-pripremu-ofk-jls/baza-pitanja-i-odogovora-iz-organizacije-i-rada-organa-ap-i-jls%20%20" TargetMode="External"/><Relationship Id="rId14" Type="http://schemas.openxmlformats.org/officeDocument/2006/relationships/hyperlink" Target="https://www.suk.gov.rs/extfile/sr/1643/Provera%20pf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7195-1800-4C7B-B181-A826FB76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2</cp:revision>
  <cp:lastPrinted>2024-05-13T06:50:00Z</cp:lastPrinted>
  <dcterms:created xsi:type="dcterms:W3CDTF">2026-05-04T11:52:00Z</dcterms:created>
  <dcterms:modified xsi:type="dcterms:W3CDTF">2026-05-04T11:52:00Z</dcterms:modified>
</cp:coreProperties>
</file>